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Registration Form Mans Lejeune Award</w:t>
      </w:r>
    </w:p>
    <w:p w:rsidR="00000000" w:rsidDel="00000000" w:rsidP="00000000" w:rsidRDefault="00000000" w:rsidRPr="00000000" w14:paraId="00000002">
      <w:pPr>
        <w:rPr>
          <w:rFonts w:ascii="Calibri" w:cs="Calibri" w:eastAsia="Calibri" w:hAnsi="Calibri"/>
          <w:b w:val="1"/>
          <w:i w:val="1"/>
        </w:rPr>
      </w:pPr>
      <w:r w:rsidDel="00000000" w:rsidR="00000000" w:rsidRPr="00000000">
        <w:rPr>
          <w:rFonts w:ascii="Calibri" w:cs="Calibri" w:eastAsia="Calibri" w:hAnsi="Calibri"/>
          <w:b w:val="1"/>
          <w:i w:val="1"/>
          <w:rtl w:val="0"/>
        </w:rPr>
        <w:t xml:space="preserve">Welcome to the registration process for the Mans Lejeune Award. This prestigious prize aims to recognize and reward the most sustainable and environmentally friendly initiatives within industry associations. In this document, you will find the questions from the registration form. We invite you to register your trade association by fully completing this form and uploading it via the link below. At the end of the registration form, you can find more information about the jury and criteria. </w:t>
      </w:r>
    </w:p>
    <w:p w:rsidR="00000000" w:rsidDel="00000000" w:rsidP="00000000" w:rsidRDefault="00000000" w:rsidRPr="00000000" w14:paraId="00000003">
      <w:pPr>
        <w:rPr>
          <w:rFonts w:ascii="Calibri" w:cs="Calibri" w:eastAsia="Calibri" w:hAnsi="Calibri"/>
        </w:rPr>
      </w:pPr>
      <w:hyperlink r:id="rId7">
        <w:r w:rsidDel="00000000" w:rsidR="00000000" w:rsidRPr="00000000">
          <w:rPr>
            <w:rFonts w:ascii="Calibri" w:cs="Calibri" w:eastAsia="Calibri" w:hAnsi="Calibri"/>
            <w:u w:val="single"/>
            <w:rtl w:val="0"/>
          </w:rPr>
          <w:t xml:space="preserve">https://lejeune131.typeform.com/to/d8Gbuap9</w:t>
        </w:r>
      </w:hyperlink>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04">
      <w:pPr>
        <w:pBdr>
          <w:bottom w:color="000000" w:space="1" w:sz="6" w:val="single"/>
        </w:pBdr>
        <w:rPr>
          <w:rFonts w:ascii="Calibri" w:cs="Calibri" w:eastAsia="Calibri" w:hAnsi="Calibri"/>
          <w:b w:val="1"/>
        </w:rPr>
      </w:pPr>
      <w:r w:rsidDel="00000000" w:rsidR="00000000" w:rsidRPr="00000000">
        <w:rPr>
          <w:rFonts w:ascii="Calibri" w:cs="Calibri" w:eastAsia="Calibri" w:hAnsi="Calibri"/>
          <w:b w:val="1"/>
          <w:rtl w:val="0"/>
        </w:rPr>
        <w:t xml:space="preserve">The announcement of the winners will take place during our anniversary congress on October 31st at Madurodam, The Hague.</w:t>
      </w:r>
    </w:p>
    <w:p w:rsidR="00000000" w:rsidDel="00000000" w:rsidP="00000000" w:rsidRDefault="00000000" w:rsidRPr="00000000" w14:paraId="00000005">
      <w:pPr>
        <w:pBdr>
          <w:bottom w:color="000000" w:space="1" w:sz="6"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General Information</w:t>
      </w:r>
    </w:p>
    <w:p w:rsidR="00000000" w:rsidDel="00000000" w:rsidP="00000000" w:rsidRDefault="00000000" w:rsidRPr="00000000" w14:paraId="00000007">
      <w:pPr>
        <w:numPr>
          <w:ilvl w:val="0"/>
          <w:numId w:val="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Name of Industry Association:</w:t>
        <w:tab/>
        <w:t xml:space="preserve">……….</w:t>
      </w:r>
    </w:p>
    <w:p w:rsidR="00000000" w:rsidDel="00000000" w:rsidP="00000000" w:rsidRDefault="00000000" w:rsidRPr="00000000" w14:paraId="00000008">
      <w:pPr>
        <w:numPr>
          <w:ilvl w:val="0"/>
          <w:numId w:val="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Contact Person:</w:t>
        <w:tab/>
        <w:tab/>
        <w:tab/>
        <w:t xml:space="preserve">……….</w:t>
      </w:r>
    </w:p>
    <w:p w:rsidR="00000000" w:rsidDel="00000000" w:rsidP="00000000" w:rsidRDefault="00000000" w:rsidRPr="00000000" w14:paraId="00000009">
      <w:pPr>
        <w:numPr>
          <w:ilvl w:val="0"/>
          <w:numId w:val="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Email Address</w:t>
        <w:tab/>
        <w:tab/>
        <w:tab/>
        <w:t xml:space="preserve">……….</w:t>
      </w:r>
    </w:p>
    <w:p w:rsidR="00000000" w:rsidDel="00000000" w:rsidP="00000000" w:rsidRDefault="00000000" w:rsidRPr="00000000" w14:paraId="0000000A">
      <w:pPr>
        <w:numPr>
          <w:ilvl w:val="0"/>
          <w:numId w:val="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Phone Number:</w:t>
        <w:tab/>
        <w:tab/>
        <w:tab/>
        <w:t xml:space="preserve">……….</w:t>
      </w:r>
    </w:p>
    <w:p w:rsidR="00000000" w:rsidDel="00000000" w:rsidP="00000000" w:rsidRDefault="00000000" w:rsidRPr="00000000" w14:paraId="0000000B">
      <w:pPr>
        <w:numPr>
          <w:ilvl w:val="0"/>
          <w:numId w:val="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Website:</w:t>
        <w:tab/>
        <w:tab/>
        <w:tab/>
        <w:t xml:space="preserve">……….</w:t>
      </w:r>
    </w:p>
    <w:p w:rsidR="00000000" w:rsidDel="00000000" w:rsidP="00000000" w:rsidRDefault="00000000" w:rsidRPr="00000000" w14:paraId="0000000C">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Type of Organisation:</w:t>
        <w:tab/>
        <w:tab/>
        <w:t xml:space="preserve">……….</w:t>
      </w:r>
    </w:p>
    <w:p w:rsidR="00000000" w:rsidDel="00000000" w:rsidP="00000000" w:rsidRDefault="00000000" w:rsidRPr="00000000" w14:paraId="0000000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Details Sustainable Initiative*</w:t>
      </w:r>
    </w:p>
    <w:p w:rsidR="00000000" w:rsidDel="00000000" w:rsidP="00000000" w:rsidRDefault="00000000" w:rsidRPr="00000000" w14:paraId="0000000E">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Title Sustainable Initiative:</w:t>
        <w:tab/>
        <w:tab/>
        <w:tab/>
      </w:r>
    </w:p>
    <w:sdt>
      <w:sdtPr>
        <w:lock w:val="contentLocked"/>
        <w:tag w:val="goog_rdk_0"/>
      </w:sdtPr>
      <w:sdtContent>
        <w:tbl>
          <w:tblPr>
            <w:tblStyle w:val="Table1"/>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0">
      <w:pPr>
        <w:spacing w:after="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Content Sustainable Initiative: </w:t>
        <w:tab/>
        <w:tab/>
        <w:tab/>
      </w:r>
    </w:p>
    <w:sdt>
      <w:sdtPr>
        <w:lock w:val="contentLocked"/>
        <w:tag w:val="goog_rdk_1"/>
      </w:sdtPr>
      <w:sdtContent>
        <w:tbl>
          <w:tblPr>
            <w:tblStyle w:val="Table2"/>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Starting Date and Duration:</w:t>
        <w:tab/>
        <w:tab/>
        <w:tab/>
        <w:tab/>
        <w:tab/>
      </w:r>
    </w:p>
    <w:sdt>
      <w:sdtPr>
        <w:lock w:val="contentLocked"/>
        <w:tag w:val="goog_rdk_2"/>
      </w:sdtPr>
      <w:sdtContent>
        <w:tbl>
          <w:tblPr>
            <w:tblStyle w:val="Table3"/>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6">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Motive Sustainable Initiative:</w:t>
        <w:tab/>
        <w:tab/>
        <w:tab/>
      </w:r>
    </w:p>
    <w:sdt>
      <w:sdtPr>
        <w:lock w:val="contentLocked"/>
        <w:tag w:val="goog_rdk_3"/>
      </w:sdtPr>
      <w:sdtContent>
        <w:tbl>
          <w:tblPr>
            <w:tblStyle w:val="Table4"/>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Vision Sustainable Initiative (</w:t>
      </w:r>
      <w:r w:rsidDel="00000000" w:rsidR="00000000" w:rsidRPr="00000000">
        <w:rPr>
          <w:rFonts w:ascii="Calibri" w:cs="Calibri" w:eastAsia="Calibri" w:hAnsi="Calibri"/>
          <w:i w:val="1"/>
          <w:rtl w:val="0"/>
        </w:rPr>
        <w:t xml:space="preserve">see jury-criteria</w:t>
      </w:r>
      <w:r w:rsidDel="00000000" w:rsidR="00000000" w:rsidRPr="00000000">
        <w:rPr>
          <w:rFonts w:ascii="Calibri" w:cs="Calibri" w:eastAsia="Calibri" w:hAnsi="Calibri"/>
          <w:rtl w:val="0"/>
        </w:rPr>
        <w:t xml:space="preserve">): </w:t>
        <w:tab/>
        <w:tab/>
        <w:tab/>
        <w:tab/>
      </w:r>
    </w:p>
    <w:sdt>
      <w:sdtPr>
        <w:lock w:val="contentLocked"/>
        <w:tag w:val="goog_rdk_4"/>
      </w:sdtPr>
      <w:sdtContent>
        <w:tbl>
          <w:tblPr>
            <w:tblStyle w:val="Table5"/>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C">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max 75 words</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after="0" w:lineRule="auto"/>
        <w:ind w:left="720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Objectives Sustainable Initiative:</w:t>
        <w:tab/>
        <w:tab/>
        <w:tab/>
      </w:r>
    </w:p>
    <w:sdt>
      <w:sdtPr>
        <w:lock w:val="contentLocked"/>
        <w:tag w:val="goog_rdk_5"/>
      </w:sdtPr>
      <w:sdtContent>
        <w:tbl>
          <w:tblPr>
            <w:tblStyle w:val="Table6"/>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numPr>
                    <w:ilvl w:val="1"/>
                    <w:numId w:val="9"/>
                  </w:numPr>
                  <w:spacing w:after="0"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1"/>
                    <w:numId w:val="9"/>
                  </w:numPr>
                  <w:spacing w:after="0" w:lineRule="auto"/>
                  <w:ind w:left="1440" w:hanging="36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1"/>
                    <w:numId w:val="9"/>
                  </w:numPr>
                  <w:spacing w:after="0" w:lineRule="auto"/>
                  <w:ind w:left="1440" w:hanging="360"/>
                  <w:rPr>
                    <w:rFonts w:ascii="Calibri" w:cs="Calibri" w:eastAsia="Calibri" w:hAnsi="Calibri"/>
                    <w:b w:val="1"/>
                  </w:rPr>
                </w:pPr>
                <w:r w:rsidDel="00000000" w:rsidR="00000000" w:rsidRPr="00000000">
                  <w:rPr>
                    <w:rtl w:val="0"/>
                  </w:rPr>
                </w:r>
              </w:p>
            </w:tc>
          </w:tr>
        </w:tbl>
      </w:sdtContent>
    </w:sdt>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Ways of (internal and external) Communication (</w:t>
      </w:r>
      <w:r w:rsidDel="00000000" w:rsidR="00000000" w:rsidRPr="00000000">
        <w:rPr>
          <w:rFonts w:ascii="Calibri" w:cs="Calibri" w:eastAsia="Calibri" w:hAnsi="Calibri"/>
          <w:i w:val="1"/>
          <w:rtl w:val="0"/>
        </w:rPr>
        <w:t xml:space="preserve">see jury-criteria</w:t>
      </w:r>
      <w:r w:rsidDel="00000000" w:rsidR="00000000" w:rsidRPr="00000000">
        <w:rPr>
          <w:rFonts w:ascii="Calibri" w:cs="Calibri" w:eastAsia="Calibri" w:hAnsi="Calibri"/>
          <w:rtl w:val="0"/>
        </w:rPr>
        <w:t xml:space="preserve">):</w:t>
        <w:tab/>
      </w:r>
    </w:p>
    <w:sdt>
      <w:sdtPr>
        <w:lock w:val="contentLocked"/>
        <w:tag w:val="goog_rdk_6"/>
      </w:sdtPr>
      <w:sdtContent>
        <w:tbl>
          <w:tblPr>
            <w:tblStyle w:val="Table7"/>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5">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max 75 words</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spacing w:after="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7"/>
        </w:numPr>
        <w:spacing w:after="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Partnerships and Ways of Collaboration (</w:t>
      </w:r>
      <w:r w:rsidDel="00000000" w:rsidR="00000000" w:rsidRPr="00000000">
        <w:rPr>
          <w:rFonts w:ascii="Calibri" w:cs="Calibri" w:eastAsia="Calibri" w:hAnsi="Calibri"/>
          <w:i w:val="1"/>
          <w:rtl w:val="0"/>
        </w:rPr>
        <w:t xml:space="preserve">see jury-criteria</w:t>
      </w:r>
      <w:r w:rsidDel="00000000" w:rsidR="00000000" w:rsidRPr="00000000">
        <w:rPr>
          <w:rFonts w:ascii="Calibri" w:cs="Calibri" w:eastAsia="Calibri" w:hAnsi="Calibri"/>
          <w:rtl w:val="0"/>
        </w:rPr>
        <w:t xml:space="preserve">): </w:t>
        <w:tab/>
        <w:tab/>
      </w:r>
    </w:p>
    <w:sdt>
      <w:sdtPr>
        <w:lock w:val="contentLocked"/>
        <w:tag w:val="goog_rdk_7"/>
      </w:sdtPr>
      <w:sdtContent>
        <w:tbl>
          <w:tblPr>
            <w:tblStyle w:val="Table8"/>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9">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max 75 words</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spacing w:after="0" w:lineRule="auto"/>
        <w:ind w:left="720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Realised Results and Impact Sustainable Initiative (</w:t>
      </w:r>
      <w:r w:rsidDel="00000000" w:rsidR="00000000" w:rsidRPr="00000000">
        <w:rPr>
          <w:rFonts w:ascii="Calibri" w:cs="Calibri" w:eastAsia="Calibri" w:hAnsi="Calibri"/>
          <w:i w:val="1"/>
          <w:rtl w:val="0"/>
        </w:rPr>
        <w:t xml:space="preserve">see jury-criteria</w:t>
      </w:r>
      <w:r w:rsidDel="00000000" w:rsidR="00000000" w:rsidRPr="00000000">
        <w:rPr>
          <w:rFonts w:ascii="Calibri" w:cs="Calibri" w:eastAsia="Calibri" w:hAnsi="Calibri"/>
          <w:rtl w:val="0"/>
        </w:rPr>
        <w:t xml:space="preserve">):</w:t>
      </w:r>
    </w:p>
    <w:sdt>
      <w:sdtPr>
        <w:lock w:val="contentLocked"/>
        <w:tag w:val="goog_rdk_8"/>
      </w:sdtPr>
      <w:sdtContent>
        <w:tbl>
          <w:tblPr>
            <w:tblStyle w:val="Table9"/>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D">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max 75 words</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Attachments</w:t>
      </w:r>
    </w:p>
    <w:p w:rsidR="00000000" w:rsidDel="00000000" w:rsidP="00000000" w:rsidRDefault="00000000" w:rsidRPr="00000000" w14:paraId="00000030">
      <w:pPr>
        <w:spacing w:after="0" w:line="25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registration process, you can upload documentation to support your submissions (for example, reports, photos, videos).</w:t>
      </w:r>
    </w:p>
    <w:p w:rsidR="00000000" w:rsidDel="00000000" w:rsidP="00000000" w:rsidRDefault="00000000" w:rsidRPr="00000000" w14:paraId="00000031">
      <w:pPr>
        <w:spacing w:after="0" w:line="25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after="0" w:line="25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For any questions or assistance with filling in the registration form, we will be happy to make an online appointment.</w:t>
      </w:r>
    </w:p>
    <w:p w:rsidR="00000000" w:rsidDel="00000000" w:rsidP="00000000" w:rsidRDefault="00000000" w:rsidRPr="00000000" w14:paraId="00000033">
      <w:pPr>
        <w:spacing w:after="0" w:line="25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4">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*With the term sustainable initiative we refer to: projects, programs, campaigns, reason to exist (set up with a measurable objective) or sustainability integrated into the organisation.</w:t>
      </w:r>
    </w:p>
    <w:p w:rsidR="00000000" w:rsidDel="00000000" w:rsidP="00000000" w:rsidRDefault="00000000" w:rsidRPr="00000000" w14:paraId="00000035">
      <w:pPr>
        <w:spacing w:after="0" w:line="25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after="0" w:line="250" w:lineRule="auto"/>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0" w:line="25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Background information</w:t>
      </w:r>
    </w:p>
    <w:p w:rsidR="00000000" w:rsidDel="00000000" w:rsidP="00000000" w:rsidRDefault="00000000" w:rsidRPr="00000000" w14:paraId="00000038">
      <w:pPr>
        <w:spacing w:after="0" w:line="25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Excelling in sustainability!</w:t>
      </w:r>
    </w:p>
    <w:p w:rsidR="00000000" w:rsidDel="00000000" w:rsidP="00000000" w:rsidRDefault="00000000" w:rsidRPr="00000000" w14:paraId="00000039">
      <w:pPr>
        <w:spacing w:after="0" w:line="25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Register your organisation now for the Mans Lejeune Award 2024</w:t>
      </w:r>
    </w:p>
    <w:p w:rsidR="00000000" w:rsidDel="00000000" w:rsidP="00000000" w:rsidRDefault="00000000" w:rsidRPr="00000000" w14:paraId="0000003A">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25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 would like to invite all industry organisations to participate in the Mans Lejeune Award 2024.  The Mans Lejeune Award, named after our founder, is more than an award; it is a recognition of innovative collaboration and sustainable development within the industry. </w:t>
      </w:r>
    </w:p>
    <w:p w:rsidR="00000000" w:rsidDel="00000000" w:rsidP="00000000" w:rsidRDefault="00000000" w:rsidRPr="00000000" w14:paraId="0000003C">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This year, we are focusing on trade associations and professional organisations with entrepreneurial constituencies that are leading the way in sustainability. Driven by the EU Green Deal and the increasing call for corporate social responsibility (CSR). Using four criteria, we want to award those organisations that have paved the way forward with their vision, commitment, operational cooperation and transparent reporting.</w:t>
      </w:r>
    </w:p>
    <w:p w:rsidR="00000000" w:rsidDel="00000000" w:rsidP="00000000" w:rsidRDefault="00000000" w:rsidRPr="00000000" w14:paraId="0000003E">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Why participate?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 the spotlight at our </w:t>
      </w:r>
      <w:hyperlink r:id="rId8">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anniversary congress on 31 October 2024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the winner of the Mans Lejeune Award 2024 will be announced.</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recognition for your project's contribution to the success of the trade association.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the quality of the work your team has done for the constituency.</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appreciation for the commitment and achievements of your members and volunteers.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Strengthen your branch organisation's brand and reputation with this unique free publicity opportunity.</w:t>
      </w:r>
    </w:p>
    <w:p w:rsidR="00000000" w:rsidDel="00000000" w:rsidP="00000000" w:rsidRDefault="00000000" w:rsidRPr="00000000" w14:paraId="00000045">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Why the Mans Lejeune Award?</w:t>
      </w:r>
    </w:p>
    <w:p w:rsidR="00000000" w:rsidDel="00000000" w:rsidP="00000000" w:rsidRDefault="00000000" w:rsidRPr="00000000" w14:paraId="00000047">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The Mans Lejeune Award was established in 2014 to mark our 50th anniversary. The Mans Lejeune Award is a tribute to the founder and namesake of the family business. With the award, we wanted (and want) to highlight and reward examples of successful cooperation at (industry) organisation level. The previous Mans Lejeune Award was won by Thuiswinkel.org.</w:t>
      </w:r>
    </w:p>
    <w:p w:rsidR="00000000" w:rsidDel="00000000" w:rsidP="00000000" w:rsidRDefault="00000000" w:rsidRPr="00000000" w14:paraId="00000048">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The Mans Lejeune Award 2024</w:t>
      </w:r>
    </w:p>
    <w:p w:rsidR="00000000" w:rsidDel="00000000" w:rsidP="00000000" w:rsidRDefault="00000000" w:rsidRPr="00000000" w14:paraId="0000004A">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In 2024, CSR and sustainability take centre stage. Last year, we already paid attention to this theme during our </w:t>
      </w:r>
      <w:hyperlink r:id="rId9">
        <w:r w:rsidDel="00000000" w:rsidR="00000000" w:rsidRPr="00000000">
          <w:rPr>
            <w:rFonts w:ascii="Calibri" w:cs="Calibri" w:eastAsia="Calibri" w:hAnsi="Calibri"/>
            <w:color w:val="467886"/>
            <w:u w:val="single"/>
            <w:rtl w:val="0"/>
          </w:rPr>
          <w:t xml:space="preserve">Lejeune Sector Day under the slogan 'From sustainable thinking to DOING</w:t>
        </w:r>
      </w:hyperlink>
      <w:r w:rsidDel="00000000" w:rsidR="00000000" w:rsidRPr="00000000">
        <w:rPr>
          <w:rFonts w:ascii="Calibri" w:cs="Calibri" w:eastAsia="Calibri" w:hAnsi="Calibri"/>
          <w:rtl w:val="0"/>
        </w:rPr>
        <w:t xml:space="preserve">'. This year, we therefore want to use the Mans Lejeune Award to reward (sector) organisations that have played a special role in the field of sustainability. We have drawn up four criteria for this purpose:</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Vision and strategy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is the vision, what impact does it aspire to and how does it relate to the context of the organisation?</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Engagement, decision-making and communication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is the constituency mobilised and how effective is the storytelling?</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Operational cooperation and partnerships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effectively has the organisation organised cooperation at branch level and between organisations?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did the project concretely contribute to improving the life satisfaction of individuals or communities involved?</w:t>
      </w:r>
    </w:p>
    <w:p w:rsidR="00000000" w:rsidDel="00000000" w:rsidP="00000000" w:rsidRDefault="00000000" w:rsidRPr="00000000" w14:paraId="0000004F">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Don't miss this opportunity to be rewarded for your branch organisation's outstanding contribution to sustainability in Lejeune Association Management's anniversary year.</w:t>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Jury</w:t>
      </w:r>
    </w:p>
    <w:p w:rsidR="00000000" w:rsidDel="00000000" w:rsidP="00000000" w:rsidRDefault="00000000" w:rsidRPr="00000000" w14:paraId="00000053">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For the judging of the Mans Lejeune Award 2024, we have found five leading professionals willing to lend their expertise:</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Paul de Ruijter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Ruijter Strategy</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Cécile Veldman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Dutch Association (DNA)</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Bart Lombaerts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Content marketer Spyke and co-producer 'The Decade of Action'</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Michel Scholte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CSRD-Academy, Impact Institute/True Price</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founder of Thuiswinkel.org (winner of the 2014 Mans Lejeune Award), </w:t>
      </w:r>
      <w:hyperlink r:id="rId14">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Wijnand Jongen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contribute his knowledge and experience to the jury as independent chairman.</w:t>
      </w:r>
    </w:p>
    <w:p w:rsidR="00000000" w:rsidDel="00000000" w:rsidP="00000000" w:rsidRDefault="00000000" w:rsidRPr="00000000" w14:paraId="00000059">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Each jury member brings a unique perspective and a wealth of knowledge to the judging table. Their assessment is a search for organisations that not only excel in their commitment to CSR and sustainability, but also set an example for the entire sector. Here you can find </w:t>
      </w:r>
      <w:hyperlink r:id="rId15">
        <w:r w:rsidDel="00000000" w:rsidR="00000000" w:rsidRPr="00000000">
          <w:rPr>
            <w:rFonts w:ascii="Calibri" w:cs="Calibri" w:eastAsia="Calibri" w:hAnsi="Calibri"/>
            <w:color w:val="467886"/>
            <w:u w:val="single"/>
            <w:rtl w:val="0"/>
          </w:rPr>
          <w:t xml:space="preserve">the podcast interviews with the jury</w:t>
        </w:r>
      </w:hyperlink>
      <w:r w:rsidDel="00000000" w:rsidR="00000000" w:rsidRPr="00000000">
        <w:rPr>
          <w:rtl w:val="0"/>
        </w:rPr>
        <w:t xml:space="preserve"> </w:t>
      </w:r>
      <w:r w:rsidDel="00000000" w:rsidR="00000000" w:rsidRPr="00000000">
        <w:rPr>
          <w:rFonts w:ascii="Calibri" w:cs="Calibri" w:eastAsia="Calibri" w:hAnsi="Calibri"/>
          <w:rtl w:val="0"/>
        </w:rPr>
        <w:t xml:space="preserve">and the </w:t>
      </w:r>
      <w:hyperlink r:id="rId16">
        <w:r w:rsidDel="00000000" w:rsidR="00000000" w:rsidRPr="00000000">
          <w:rPr>
            <w:rFonts w:ascii="Calibri" w:cs="Calibri" w:eastAsia="Calibri" w:hAnsi="Calibri"/>
            <w:color w:val="467886"/>
            <w:u w:val="single"/>
            <w:rtl w:val="0"/>
          </w:rPr>
          <w:t xml:space="preserve">summary of the key take-aways of the podcasts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B">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Timeline</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April: registration open</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August: deadline for applications Mans Lejeune Award</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 August: jury deliberation</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September: start announcement of nominations, video recordings with finalists</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October announcement of finalists</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October from 13.30, Madurodam The Hague: anniversary conference Lejeune and award ceremony Mans Lejeune Award.</w:t>
      </w:r>
    </w:p>
    <w:p w:rsidR="00000000" w:rsidDel="00000000" w:rsidP="00000000" w:rsidRDefault="00000000" w:rsidRPr="00000000" w14:paraId="00000064">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Other</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 and finalists will be determined by the jury score.</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the Mans Lejeune Award is free of charge.</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award ceremony will take place on 31 October 2024 during the anniversary congress in Madurodam.</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charge to attend the award ceremony.</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finalists will be invited to share their success story via a video recording provided by us.</w:t>
      </w:r>
    </w:p>
    <w:p w:rsidR="00000000" w:rsidDel="00000000" w:rsidP="00000000" w:rsidRDefault="00000000" w:rsidRPr="00000000" w14:paraId="0000006B">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50" w:lineRule="auto"/>
        <w:rPr>
          <w:rFonts w:ascii="Calibri" w:cs="Calibri" w:eastAsia="Calibri" w:hAnsi="Calibri"/>
          <w:b w:val="1"/>
        </w:rPr>
      </w:pPr>
      <w:r w:rsidDel="00000000" w:rsidR="00000000" w:rsidRPr="00000000">
        <w:rPr>
          <w:rFonts w:ascii="Calibri" w:cs="Calibri" w:eastAsia="Calibri" w:hAnsi="Calibri"/>
          <w:b w:val="1"/>
          <w:rtl w:val="0"/>
        </w:rPr>
        <w:t xml:space="preserve">Subscribing to the Mans Lejeune Award</w:t>
      </w:r>
    </w:p>
    <w:p w:rsidR="00000000" w:rsidDel="00000000" w:rsidP="00000000" w:rsidRDefault="00000000" w:rsidRPr="00000000" w14:paraId="0000006D">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There is no cost to participate in the Mans Lejeune Award and the anniversary conference.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Download this registration form from the Lejeune website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entry form below: Answer the questions on the various criteria listed on the form.</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 your entry form: Use the button provided at the bottom of the awards website to upload your completed registration form.</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evidence and/or attachments: Using the same button, you can also add any evidence and attachments.</w:t>
      </w:r>
    </w:p>
    <w:p w:rsidR="00000000" w:rsidDel="00000000" w:rsidP="00000000" w:rsidRDefault="00000000" w:rsidRPr="00000000" w14:paraId="00000072">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0" w:line="250" w:lineRule="auto"/>
        <w:rPr>
          <w:rFonts w:ascii="Calibri" w:cs="Calibri" w:eastAsia="Calibri" w:hAnsi="Calibri"/>
          <w:b w:val="1"/>
          <w:i w:val="1"/>
        </w:rPr>
      </w:pPr>
      <w:r w:rsidDel="00000000" w:rsidR="00000000" w:rsidRPr="00000000">
        <w:rPr>
          <w:rFonts w:ascii="Calibri" w:cs="Calibri" w:eastAsia="Calibri" w:hAnsi="Calibri"/>
          <w:rtl w:val="0"/>
        </w:rPr>
        <w:t xml:space="preserve">Make sure you fill in all requested information carefully and completely to increase your chances of winning the award! </w:t>
      </w:r>
      <w:r w:rsidDel="00000000" w:rsidR="00000000" w:rsidRPr="00000000">
        <w:rPr>
          <w:rtl w:val="0"/>
        </w:rPr>
      </w:r>
    </w:p>
    <w:p w:rsidR="00000000" w:rsidDel="00000000" w:rsidP="00000000" w:rsidRDefault="00000000" w:rsidRPr="00000000" w14:paraId="00000074">
      <w:pPr>
        <w:spacing w:after="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0" w:line="250" w:lineRule="auto"/>
        <w:rPr>
          <w:rFonts w:ascii="Calibri" w:cs="Calibri" w:eastAsia="Calibri" w:hAnsi="Calibri"/>
        </w:rPr>
      </w:pPr>
      <w:r w:rsidDel="00000000" w:rsidR="00000000" w:rsidRPr="00000000">
        <w:rPr>
          <w:rFonts w:ascii="Calibri" w:cs="Calibri" w:eastAsia="Calibri" w:hAnsi="Calibri"/>
          <w:rtl w:val="0"/>
        </w:rPr>
        <w:t xml:space="preserve">Good luck!</w:t>
      </w:r>
      <w:r w:rsidDel="00000000" w:rsidR="00000000" w:rsidRPr="00000000">
        <w:rPr>
          <w:rtl w:val="0"/>
        </w:rPr>
      </w:r>
    </w:p>
    <w:sectPr>
      <w:headerReference r:id="rId18" w:type="default"/>
      <w:footerReference r:id="rId19" w:type="default"/>
      <w:footerReference r:id="rId20" w:type="even"/>
      <w:pgSz w:h="16838" w:w="11906" w:orient="portrait"/>
      <w:pgMar w:bottom="1110"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drawing>
        <wp:inline distB="0" distT="0" distL="0" distR="0">
          <wp:extent cx="1624482" cy="1039476"/>
          <wp:effectExtent b="0" l="0" r="0" t="0"/>
          <wp:docPr descr="Afbeelding met tekst, Lettertype, Graphics, grafische vormgeving&#10;&#10;Automatisch gegenereerde beschrijving" id="910524926" name="image1.jpg"/>
          <a:graphic>
            <a:graphicData uri="http://schemas.openxmlformats.org/drawingml/2006/picture">
              <pic:pic>
                <pic:nvPicPr>
                  <pic:cNvPr descr="Afbeelding met tekst, Lettertype, Graphics, grafische vormgeving&#10;&#10;Automatisch gegenereerde beschrijving" id="0" name="image1.jpg"/>
                  <pic:cNvPicPr preferRelativeResize="0"/>
                </pic:nvPicPr>
                <pic:blipFill>
                  <a:blip r:embed="rId1"/>
                  <a:srcRect b="0" l="0" r="0" t="0"/>
                  <a:stretch>
                    <a:fillRect/>
                  </a:stretch>
                </pic:blipFill>
                <pic:spPr>
                  <a:xfrm>
                    <a:off x="0" y="0"/>
                    <a:ext cx="1624482" cy="10394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3C7A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3C7A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3C7AC3"/>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3C7AC3"/>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3C7AC3"/>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3C7AC3"/>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3C7AC3"/>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3C7AC3"/>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3C7AC3"/>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3C7AC3"/>
    <w:pPr>
      <w:spacing w:after="80" w:line="240" w:lineRule="auto"/>
      <w:contextualSpacing w:val="1"/>
    </w:pPr>
    <w:rPr>
      <w:rFonts w:asciiTheme="majorHAnsi" w:cstheme="majorBidi" w:eastAsiaTheme="majorEastAsia" w:hAnsiTheme="majorHAnsi"/>
      <w:spacing w:val="-10"/>
      <w:kern w:val="28"/>
      <w:sz w:val="56"/>
      <w:szCs w:val="56"/>
    </w:rPr>
  </w:style>
  <w:style w:type="character" w:styleId="Kop1Char" w:customStyle="1">
    <w:name w:val="Kop 1 Char"/>
    <w:basedOn w:val="Standaardalinea-lettertype"/>
    <w:link w:val="Kop1"/>
    <w:uiPriority w:val="9"/>
    <w:rsid w:val="003C7AC3"/>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3C7AC3"/>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rsid w:val="003C7AC3"/>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rsid w:val="003C7AC3"/>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3C7AC3"/>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3C7AC3"/>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3C7AC3"/>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3C7AC3"/>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3C7AC3"/>
    <w:rPr>
      <w:rFonts w:cstheme="majorBidi" w:eastAsiaTheme="majorEastAsia"/>
      <w:color w:val="272727" w:themeColor="text1" w:themeTint="0000D8"/>
    </w:rPr>
  </w:style>
  <w:style w:type="character" w:styleId="TitelChar" w:customStyle="1">
    <w:name w:val="Titel Char"/>
    <w:basedOn w:val="Standaardalinea-lettertype"/>
    <w:link w:val="Titel"/>
    <w:uiPriority w:val="10"/>
    <w:rsid w:val="003C7AC3"/>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Pr>
      <w:color w:val="595959"/>
      <w:sz w:val="28"/>
      <w:szCs w:val="28"/>
    </w:rPr>
  </w:style>
  <w:style w:type="character" w:styleId="OndertitelChar" w:customStyle="1">
    <w:name w:val="Ondertitel Char"/>
    <w:basedOn w:val="Standaardalinea-lettertype"/>
    <w:link w:val="Ondertitel"/>
    <w:uiPriority w:val="11"/>
    <w:rsid w:val="003C7AC3"/>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3C7AC3"/>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3C7AC3"/>
    <w:rPr>
      <w:i w:val="1"/>
      <w:iCs w:val="1"/>
      <w:color w:val="404040" w:themeColor="text1" w:themeTint="0000BF"/>
    </w:rPr>
  </w:style>
  <w:style w:type="paragraph" w:styleId="Lijstalinea">
    <w:name w:val="List Paragraph"/>
    <w:basedOn w:val="Standaard"/>
    <w:uiPriority w:val="34"/>
    <w:qFormat w:val="1"/>
    <w:rsid w:val="003C7AC3"/>
    <w:pPr>
      <w:ind w:left="720"/>
      <w:contextualSpacing w:val="1"/>
    </w:pPr>
  </w:style>
  <w:style w:type="character" w:styleId="Intensievebenadrukking">
    <w:name w:val="Intense Emphasis"/>
    <w:basedOn w:val="Standaardalinea-lettertype"/>
    <w:uiPriority w:val="21"/>
    <w:qFormat w:val="1"/>
    <w:rsid w:val="003C7AC3"/>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3C7A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3C7AC3"/>
    <w:rPr>
      <w:i w:val="1"/>
      <w:iCs w:val="1"/>
      <w:color w:val="0f4761" w:themeColor="accent1" w:themeShade="0000BF"/>
    </w:rPr>
  </w:style>
  <w:style w:type="character" w:styleId="Intensieveverwijzing">
    <w:name w:val="Intense Reference"/>
    <w:basedOn w:val="Standaardalinea-lettertype"/>
    <w:uiPriority w:val="32"/>
    <w:qFormat w:val="1"/>
    <w:rsid w:val="003C7AC3"/>
    <w:rPr>
      <w:b w:val="1"/>
      <w:bCs w:val="1"/>
      <w:smallCaps w:val="1"/>
      <w:color w:val="0f4761" w:themeColor="accent1" w:themeShade="0000BF"/>
      <w:spacing w:val="5"/>
    </w:rPr>
  </w:style>
  <w:style w:type="paragraph" w:styleId="Normaalweb">
    <w:name w:val="Normal (Web)"/>
    <w:basedOn w:val="Standaard"/>
    <w:uiPriority w:val="99"/>
    <w:semiHidden w:val="1"/>
    <w:unhideWhenUsed w:val="1"/>
    <w:rsid w:val="003C7AC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Standaardalinea-lettertype"/>
    <w:uiPriority w:val="99"/>
    <w:unhideWhenUsed w:val="1"/>
    <w:rsid w:val="00FE4D03"/>
    <w:rPr>
      <w:color w:val="467886" w:themeColor="hyperlink"/>
      <w:u w:val="single"/>
    </w:rPr>
  </w:style>
  <w:style w:type="character" w:styleId="Onopgelostemelding">
    <w:name w:val="Unresolved Mention"/>
    <w:basedOn w:val="Standaardalinea-lettertype"/>
    <w:uiPriority w:val="99"/>
    <w:semiHidden w:val="1"/>
    <w:unhideWhenUsed w:val="1"/>
    <w:rsid w:val="00FE4D03"/>
    <w:rPr>
      <w:color w:val="605e5c"/>
      <w:shd w:color="auto" w:fill="e1dfdd" w:val="clear"/>
    </w:rPr>
  </w:style>
  <w:style w:type="character" w:styleId="Zwaar">
    <w:name w:val="Strong"/>
    <w:basedOn w:val="Standaardalinea-lettertype"/>
    <w:uiPriority w:val="22"/>
    <w:qFormat w:val="1"/>
    <w:rsid w:val="00C37EC1"/>
    <w:rPr>
      <w:b w:val="1"/>
      <w:bCs w:val="1"/>
    </w:rPr>
  </w:style>
  <w:style w:type="paragraph" w:styleId="task-list-item" w:customStyle="1">
    <w:name w:val="task-list-item"/>
    <w:basedOn w:val="Standaard"/>
    <w:rsid w:val="00C37EC1"/>
    <w:pPr>
      <w:spacing w:after="100" w:afterAutospacing="1" w:before="100" w:beforeAutospacing="1" w:line="240" w:lineRule="auto"/>
    </w:pPr>
    <w:rPr>
      <w:rFonts w:ascii="Times New Roman" w:cs="Times New Roman" w:eastAsia="Times New Roman" w:hAnsi="Times New Roman"/>
      <w:sz w:val="24"/>
      <w:szCs w:val="24"/>
    </w:rPr>
  </w:style>
  <w:style w:type="table" w:styleId="Tabelraster">
    <w:name w:val="Table Grid"/>
    <w:basedOn w:val="Standaardtabel"/>
    <w:uiPriority w:val="39"/>
    <w:rsid w:val="00C37E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5344A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344A1"/>
  </w:style>
  <w:style w:type="paragraph" w:styleId="Voettekst">
    <w:name w:val="footer"/>
    <w:basedOn w:val="Standaard"/>
    <w:link w:val="VoettekstChar"/>
    <w:uiPriority w:val="99"/>
    <w:unhideWhenUsed w:val="1"/>
    <w:rsid w:val="005344A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344A1"/>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character" w:styleId="Paginanummer">
    <w:name w:val="page number"/>
    <w:basedOn w:val="Standaardalinea-lettertype"/>
    <w:uiPriority w:val="99"/>
    <w:semiHidden w:val="1"/>
    <w:unhideWhenUsed w:val="1"/>
    <w:rsid w:val="00F1707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inkedin.com/search/results/all/?fetchDeterministicClustersOnly=true&amp;heroEntityKey=urn%3Ali%3Afsd_profile%3AACoAAAWjtfEBKQyhpXgpL9-ts9QZgygdIjRccC8&amp;keywords=c%C3%A9cile%20veldman&amp;origin=RICH_QUERY_SUGGESTION&amp;position=0&amp;searchId=9112ca2d-fffe-458b-a0bf-d4c9b8cbef91&amp;spellCorrectionEnabled=false" TargetMode="External"/><Relationship Id="rId10" Type="http://schemas.openxmlformats.org/officeDocument/2006/relationships/hyperlink" Target="https://www.linkedin.com/search/results/all/?fetchDeterministicClustersOnly=true&amp;heroEntityKey=urn%3Ali%3Afsd_profile%3AACoAAAAINXABAoAKmgJMT0mlMB-I82zrtFnfmGI&amp;keywords=paul%20de%20ruijter&amp;origin=RICH_QUERY_SUGGESTION&amp;position=0&amp;searchId=ba529790-bfd9-4fb9-97ea-c0bab42ccad5&amp;sid=NM%3B&amp;spellCorrectionEnabled=false" TargetMode="External"/><Relationship Id="rId13" Type="http://schemas.openxmlformats.org/officeDocument/2006/relationships/hyperlink" Target="https://www.linkedin.com/search/results/all/?keywords=michel%20scholte&amp;origin=GLOBAL_SEARCH_HEADER&amp;sid=nkT" TargetMode="External"/><Relationship Id="rId12" Type="http://schemas.openxmlformats.org/officeDocument/2006/relationships/hyperlink" Target="https://www.linkedin.com/search/results/all/?fetchDeterministicClustersOnly=true&amp;heroEntityKey=urn%3Ali%3Afsd_profile%3AACoAAABChKcBY5d6_vwsucxugHQeX1yWvOIY6js&amp;keywords=bart%20lombaerts&amp;origin=RICH_QUERY_SUGGESTION&amp;position=0&amp;searchId=a733cf6e-433e-4c11-ac28-7ca61eeb28a7&amp;spellCorrectionEnabled=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jeune.nl/en/projects/sector-association-day-transitioning-from-sustainable-thinking-to-action-a-report-on-a-successful-conference.html" TargetMode="External"/><Relationship Id="rId15" Type="http://schemas.openxmlformats.org/officeDocument/2006/relationships/hyperlink" Target="https://lejeune.nl/nieuws/maak-kennis-met-de-jury-voor-de-mans-lejeune-award-2024.html" TargetMode="External"/><Relationship Id="rId14" Type="http://schemas.openxmlformats.org/officeDocument/2006/relationships/hyperlink" Target="https://www.linkedin.com/search/results/all/?fetchDeterministicClustersOnly=true&amp;heroEntityKey=urn%3Ali%3Afsd_profile%3AACoAAAGXJ58Bm8bEoRe7gE6zVFNgzxlXh_lIpus&amp;keywords=wijnand%20jongen&amp;origin=RICH_QUERY_SUGGESTION&amp;position=0&amp;searchId=36c5867e-0f32-470a-8b81-5f4c64eba84b&amp;sid=D%3A6&amp;spellCorrectionEnabled=false" TargetMode="External"/><Relationship Id="rId17" Type="http://schemas.openxmlformats.org/officeDocument/2006/relationships/hyperlink" Target="https://lejeune.nl/en/mans-lejeune-award-2024.html" TargetMode="External"/><Relationship Id="rId16" Type="http://schemas.openxmlformats.org/officeDocument/2006/relationships/hyperlink" Target="https://lejeune.nl/nieuws/7-kenmerken-van-branche-en-beroepsorganisaties-die-aan-het-roer-van-verandering-staan.html"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lejeune131.typeform.com/to/d8Gbuap9" TargetMode="External"/><Relationship Id="rId8" Type="http://schemas.openxmlformats.org/officeDocument/2006/relationships/hyperlink" Target="https://lejeune.nl/en/anniversary-congre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jcM29gDbP+aY9q8wMpQEsrmEQ==">CgMxLjAaHwoBMBIaChgICVIUChJ0YWJsZS5vZTN4dHIxdjl0a2IaHwoBMRIaChgICVIUChJ0YWJsZS5vb2FpNTl2cGp1OWEaHgoBMhIZChcICVITChF0YWJsZS5rMW1lcHNyMzI4ehofCgEzEhoKGAgJUhQKEnRhYmxlLnEwdmwwaXk5NHN6aRofCgE0EhoKGAgJUhQKEnRhYmxlLjFpOTk3NHRlaGFxaBofCgE1EhoKGAgJUhQKEnRhYmxlLnFqaW5yYTVzZzdqdxofCgE2EhoKGAgJUhQKEnRhYmxlLmtmbmZnMGZjbGZ4ZhofCgE3EhoKGAgJUhQKEnRhYmxlLmY5MG91c3R6d2EyMRofCgE4EhoKGAgJUhQKEnRhYmxlLmVqZWVwbWF5eWJuajgAciExblEycHJMZE5ZX3RsTUhubnBId2I0b1lIOGt4RFJZd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2024-04-03T09:06:00Z</dcterms:created>
  <dc:creator>Luc Lejeune</dc:creator>
</cp:coreProperties>
</file>